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35" w:rsidRDefault="0096458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Информация к отчету об исполнении утвержденной тарифной сметы, </w:t>
      </w:r>
    </w:p>
    <w:p w:rsidR="00EA2C35" w:rsidRDefault="0096458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об исполнении утвержденной инвестиционной программы </w:t>
      </w:r>
    </w:p>
    <w:p w:rsidR="00EA2C35" w:rsidRDefault="0096458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перед потребителями и иными заинтересованными лицами </w:t>
      </w:r>
    </w:p>
    <w:p w:rsidR="00EA2C35" w:rsidRDefault="0096458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за первое полугодие 2025 года</w:t>
      </w:r>
    </w:p>
    <w:p w:rsidR="00EA2C35" w:rsidRDefault="00EA2C3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A2C35" w:rsidRDefault="009645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пункта 6 статьи 25 Закона Республики Казахстан «О естественных монополиях» 23 июля 2025 года в 15.00 часов по адресу: г. Астана, ул. Жансугурова 7                   АО «Астана-Теплотранзит» будет проведен отчет 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об исполнении утвержденной тари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фной сметы, об исполнении утвержденной инвестиционной программы перед потребителями и иными заинтересованными лицами за первое полугодие 2025 года, также слушания будут транслироваться в режиме онлайн на официальной странице АО «Астана-Теплотранзит» в соци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альной сети facebook.com.</w:t>
      </w:r>
    </w:p>
    <w:p w:rsidR="00EA2C35" w:rsidRDefault="00964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регулируемая деятельность АО «Астана-Теплотранзит» - передача, распределение и снабжение тепловой энергией. Функции снабжения тепловой энергией перешли в АО «Астана-Теплотранзит» с 1 июля 2025 года.</w:t>
      </w:r>
    </w:p>
    <w:p w:rsidR="00EA2C35" w:rsidRDefault="0096458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Общая протяженность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служиваемых тепловых сетей на 1 января 2025 года составила 1047 км трассы.  </w:t>
      </w:r>
    </w:p>
    <w:p w:rsidR="00EA2C35" w:rsidRDefault="009645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В работе задействовано </w:t>
      </w:r>
      <w:r>
        <w:rPr>
          <w:rFonts w:ascii="Times New Roman" w:hAnsi="Times New Roman" w:cs="Times New Roman"/>
          <w:sz w:val="28"/>
          <w:szCs w:val="28"/>
        </w:rPr>
        <w:t>14 насосных перекачивающих станций, три из которых работают в автоматическом режиме без дежурного персонала.</w:t>
      </w:r>
    </w:p>
    <w:p w:rsidR="00EA2C35" w:rsidRDefault="00964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предприятии имеются производственные цеха, у</w:t>
      </w:r>
      <w:r>
        <w:rPr>
          <w:rFonts w:ascii="Times New Roman" w:hAnsi="Times New Roman" w:cs="Times New Roman"/>
          <w:sz w:val="28"/>
          <w:szCs w:val="28"/>
        </w:rPr>
        <w:t>комплектованные современным оборудованием по ремонту крупногабаритной запорной арматуры, изготовлению фасонных изделий и выполнению изоляционных работ.</w:t>
      </w:r>
    </w:p>
    <w:p w:rsidR="00EA2C35" w:rsidRDefault="00EA2C35">
      <w:pPr>
        <w:pStyle w:val="afa"/>
        <w:ind w:firstLine="567"/>
      </w:pPr>
    </w:p>
    <w:p w:rsidR="00EA2C35" w:rsidRDefault="0096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Исполнение утвержденной инвестиционн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EA2C35" w:rsidRDefault="00964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Приказом Департамента Комитета по регулированию естественных монополий Министерства национальной экономики Республики Казахстан по городу Астана инвестиционная программа АО «Астана-Теплотранзит»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 утверждена в размере 3 489 500 тыс. тенге. Выполн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ение за первое полугодие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составило </w:t>
      </w:r>
      <w:r w:rsidR="001B3F39">
        <w:rPr>
          <w:rFonts w:ascii="Times New Roman" w:eastAsia="Calibri" w:hAnsi="Times New Roman" w:cs="Times New Roman"/>
          <w:sz w:val="28"/>
          <w:szCs w:val="28"/>
          <w:lang w:val="kk-KZ"/>
        </w:rPr>
        <w:t>89052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тыс.тенге или 2,</w:t>
      </w:r>
      <w:r w:rsidR="001B3F39"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%, в том числе:</w:t>
      </w:r>
    </w:p>
    <w:p w:rsidR="00EA2C35" w:rsidRDefault="00964580">
      <w:pPr>
        <w:pStyle w:val="af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Реконструкция, модернизация тепловых сетей с учетом проектирования –           </w:t>
      </w:r>
      <w:r w:rsidR="001B3F39">
        <w:rPr>
          <w:rFonts w:ascii="Times New Roman" w:eastAsia="Calibri" w:hAnsi="Times New Roman" w:cs="Times New Roman"/>
          <w:sz w:val="28"/>
          <w:szCs w:val="28"/>
          <w:lang w:val="kk-KZ"/>
        </w:rPr>
        <w:t>16 439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тыс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тенге.</w:t>
      </w:r>
    </w:p>
    <w:p w:rsidR="00EA2C35" w:rsidRDefault="00964580">
      <w:pPr>
        <w:pStyle w:val="af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Замена устаревшего и приобретение нового оборудования- 18 814 тыс. тенге.</w:t>
      </w:r>
    </w:p>
    <w:p w:rsidR="00EA2C35" w:rsidRDefault="00964580">
      <w:pPr>
        <w:pStyle w:val="af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Приобретение транспорта и спецмеханизмов – 53 800 тыс. тенге</w:t>
      </w:r>
    </w:p>
    <w:p w:rsidR="00EA2C35" w:rsidRDefault="00EA2C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A2C35" w:rsidRDefault="0096458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В настоящее время проведены государственные закупки, заключены договора на реконструкцию тепловых сетей, приобретение оборудования. Работы по реконструкции ведутся согласно утвержденному график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 производства работ. </w:t>
      </w:r>
    </w:p>
    <w:p w:rsidR="00EA2C35" w:rsidRDefault="00EA2C3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A2C35" w:rsidRDefault="00964580">
      <w:pPr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br w:type="page" w:clear="all"/>
      </w:r>
    </w:p>
    <w:p w:rsidR="00EA2C35" w:rsidRDefault="00EA2C35">
      <w:pPr>
        <w:rPr>
          <w:rFonts w:ascii="Times New Roman" w:eastAsia="Calibri" w:hAnsi="Times New Roman" w:cs="Times New Roman"/>
          <w:b/>
          <w:sz w:val="27"/>
          <w:szCs w:val="27"/>
        </w:rPr>
        <w:sectPr w:rsidR="00EA2C35">
          <w:footerReference w:type="default" r:id="rId7"/>
          <w:pgSz w:w="11906" w:h="16838"/>
          <w:pgMar w:top="851" w:right="567" w:bottom="851" w:left="992" w:header="709" w:footer="147" w:gutter="0"/>
          <w:cols w:space="708"/>
          <w:docGrid w:linePitch="360"/>
        </w:sectPr>
      </w:pPr>
    </w:p>
    <w:p w:rsidR="00D75F9D" w:rsidRDefault="00964580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lastRenderedPageBreak/>
        <w:t xml:space="preserve">Информация об исполнении инвестиционной программы </w:t>
      </w:r>
      <w:r>
        <w:rPr>
          <w:rFonts w:ascii="Times New Roman" w:eastAsia="Calibri" w:hAnsi="Times New Roman" w:cs="Times New Roman"/>
          <w:b/>
          <w:sz w:val="27"/>
          <w:szCs w:val="27"/>
        </w:rPr>
        <w:t>АО "Астана-Теплотранзит" за первое полугодие 2025 года</w:t>
      </w:r>
      <w:r w:rsidR="00D75F9D" w:rsidRPr="00D75F9D">
        <w:drawing>
          <wp:inline distT="0" distB="0" distL="0" distR="0" wp14:anchorId="083BB8C3" wp14:editId="762BC357">
            <wp:extent cx="10260965" cy="671385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671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F9D" w:rsidRDefault="00D75F9D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D75F9D" w:rsidRDefault="00D75F9D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D75F9D">
        <w:drawing>
          <wp:inline distT="0" distB="0" distL="0" distR="0">
            <wp:extent cx="10260965" cy="6318094"/>
            <wp:effectExtent l="0" t="0" r="698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631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7F" w:rsidRDefault="003F2B7F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3F2B7F" w:rsidRDefault="00964580">
      <w:pPr>
        <w:tabs>
          <w:tab w:val="left" w:pos="935"/>
        </w:tabs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lastRenderedPageBreak/>
        <w:tab/>
      </w:r>
    </w:p>
    <w:p w:rsidR="003F2B7F" w:rsidRDefault="003F2B7F">
      <w:pPr>
        <w:tabs>
          <w:tab w:val="left" w:pos="935"/>
        </w:tabs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</w:p>
    <w:p w:rsidR="003F2B7F" w:rsidRDefault="003F2B7F">
      <w:pPr>
        <w:tabs>
          <w:tab w:val="left" w:pos="935"/>
        </w:tabs>
        <w:rPr>
          <w:rFonts w:ascii="Times New Roman" w:eastAsia="Calibri" w:hAnsi="Times New Roman" w:cs="Times New Roman"/>
          <w:sz w:val="27"/>
          <w:szCs w:val="27"/>
        </w:rPr>
      </w:pPr>
    </w:p>
    <w:p w:rsidR="00EA2C35" w:rsidRDefault="00D75F9D">
      <w:pPr>
        <w:tabs>
          <w:tab w:val="left" w:pos="935"/>
        </w:tabs>
        <w:rPr>
          <w:rFonts w:ascii="Times New Roman" w:eastAsia="Calibri" w:hAnsi="Times New Roman" w:cs="Times New Roman"/>
          <w:sz w:val="27"/>
          <w:szCs w:val="27"/>
        </w:rPr>
        <w:sectPr w:rsidR="00EA2C35">
          <w:pgSz w:w="16838" w:h="11906" w:orient="landscape"/>
          <w:pgMar w:top="142" w:right="253" w:bottom="426" w:left="426" w:header="709" w:footer="147" w:gutter="0"/>
          <w:cols w:space="708"/>
          <w:docGrid w:linePitch="360"/>
        </w:sectPr>
      </w:pPr>
      <w:r w:rsidRPr="00D75F9D">
        <w:drawing>
          <wp:inline distT="0" distB="0" distL="0" distR="0">
            <wp:extent cx="10260965" cy="2976947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297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35" w:rsidRDefault="00EA2C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EA2C35" w:rsidRDefault="0096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Исполнение тарифной сметы</w:t>
      </w:r>
    </w:p>
    <w:p w:rsidR="00EA2C35" w:rsidRDefault="009645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АО «Астана-Теплотранзит» работает по предельным уровням тарифов, утвержденным на долгосрочный период 2021 - 2025 годы. </w:t>
      </w:r>
    </w:p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756"/>
        <w:gridCol w:w="2964"/>
        <w:gridCol w:w="675"/>
        <w:gridCol w:w="1417"/>
        <w:gridCol w:w="1276"/>
        <w:gridCol w:w="850"/>
        <w:gridCol w:w="2694"/>
      </w:tblGrid>
      <w:tr w:rsidR="00EA2C35" w:rsidTr="003F2B7F">
        <w:trPr>
          <w:trHeight w:val="67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 w:rsidP="003F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Принято в действующей тарифной смете на 2025г.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 w:rsidP="003F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Фактические показатели за первое полугодие 2025г.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 w:rsidP="003F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Откло-нение, %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 w:rsidP="003F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EA2C35">
        <w:trPr>
          <w:trHeight w:val="88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630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11 302 629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5 919 474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-48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Материальные затраты всего,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2 633 474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1 597 715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-39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Сырье и материалы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325 321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202 582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</w:t>
            </w:r>
          </w:p>
        </w:tc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ГСМ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75 432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37 156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-51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Энергия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2 232 721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1 357 978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-39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оплату труда всего,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4 951 767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2 188 990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-56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33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4 341 751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1 917 037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-55,8</w:t>
            </w:r>
          </w:p>
        </w:tc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362 970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185 953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-48,8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474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Обязательные пенсионные взносы работодателя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108 544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30 864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-71,6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42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Обязательные профессиональные пенсионные взносы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8 249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-47,5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417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130 253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50 801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-61,0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990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3 462 730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1 937 437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-44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A2C35">
        <w:trPr>
          <w:trHeight w:val="469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Услуги производственного характера, всего 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132 464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99 979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автотранспорта и механизмов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-81</w:t>
            </w:r>
          </w:p>
        </w:tc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A2C35">
        <w:trPr>
          <w:trHeight w:val="413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водоснабжения и канализации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29 403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9 767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-67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419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Поверка средств измерений, защитных средств, допуск бригады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-74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49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Топогеодезические работы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запланированы на второе полугодие</w:t>
            </w:r>
          </w:p>
        </w:tc>
      </w:tr>
      <w:tr w:rsidR="00EA2C35">
        <w:trPr>
          <w:trHeight w:val="616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Восстановление благоустройства (замена асфальта, брусчатки, газона)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18 293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20 061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 затрат связан с увеличением площадей подлежащих благоустройству</w:t>
            </w:r>
          </w:p>
        </w:tc>
      </w:tr>
      <w:tr w:rsidR="00EA2C35">
        <w:trPr>
          <w:trHeight w:val="838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4 312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-34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A2C35">
        <w:trPr>
          <w:trHeight w:val="640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Обслуживание, ремонт основных средств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20 514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28 176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расходов связано с ростом ремонтных работ и их стоимости 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обслуживание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запланированы на второе полугодие</w:t>
            </w:r>
          </w:p>
        </w:tc>
      </w:tr>
      <w:tr w:rsidR="00EA2C35">
        <w:trPr>
          <w:trHeight w:val="630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4.9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Ультразвуковой контроль сварных соединений,  теплоизоляционные работы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4.10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экологии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-33</w:t>
            </w:r>
          </w:p>
        </w:tc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A2C35">
        <w:trPr>
          <w:trHeight w:val="729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4.11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теплотехнического, электрооборудования и кислородных баллонов  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5 345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4 276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554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4.12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Техобслуживание транспортных средств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9 518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17 787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расходов связано с ростом ремонтных работ и их стоимости </w:t>
            </w:r>
          </w:p>
        </w:tc>
      </w:tr>
      <w:tr w:rsidR="00EA2C35">
        <w:trPr>
          <w:trHeight w:val="918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4.13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Захоронение твердо-бытовых, строительных и производственных отходов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2 847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A2C35">
        <w:trPr>
          <w:trHeight w:val="579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4.14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Гидрометеорологические услуги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не будут проводиться в связи с оказанием услуги на безвозмездной основе</w:t>
            </w:r>
          </w:p>
        </w:tc>
      </w:tr>
      <w:tr w:rsidR="00EA2C35">
        <w:trPr>
          <w:trHeight w:val="800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4.15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выдаче экспертного заключения о техническом состоянии основного и вспомогательного оборудования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запланированы на второе полугодие</w:t>
            </w:r>
          </w:p>
        </w:tc>
      </w:tr>
      <w:tr w:rsidR="00EA2C35">
        <w:trPr>
          <w:trHeight w:val="812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4.16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Восстановление изоляции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24 272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10 987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-55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затраты всего,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122 194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95 353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Безопасность  и  охрана труда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20 990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12 718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-39</w:t>
            </w:r>
          </w:p>
        </w:tc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Обязательное страхование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30 612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22 944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4 774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-81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Командировочные расходы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4 039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-79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5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Канцелярские товары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Превышение затрат связано с ростом стоимости канцелярских товаров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Бланочная продукция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3 026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2 330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-23</w:t>
            </w:r>
          </w:p>
        </w:tc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Сall-центра и мониторинга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10 141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5.8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 помещений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20 389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-51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539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5.9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объектов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24 182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32 173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Превышение расходов связано с ростом стоимости охранных услуг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периода, всего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1 982 923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1 322 219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-33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630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Общие и административные расходы всего,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1 974 965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1 322 219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-33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420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оплату труда всего,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261 909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232 625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987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6.1.1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230 027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204 129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A2C35">
        <w:trPr>
          <w:trHeight w:val="790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6.1.2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19 230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 затрат связан с увеличением ставок по социальному налогу, социальным отчислениям</w:t>
            </w:r>
          </w:p>
        </w:tc>
      </w:tr>
      <w:tr w:rsidR="00EA2C35">
        <w:trPr>
          <w:trHeight w:val="418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6.1.3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Обязательные пенсионные взносы работодателя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5 751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</w:t>
            </w:r>
          </w:p>
        </w:tc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Отклонение в связи со сравнением затрат первого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полугодия с годовыми утвержденными затратами тарифной сметы</w:t>
            </w:r>
          </w:p>
        </w:tc>
      </w:tr>
      <w:tr w:rsidR="00EA2C35">
        <w:trPr>
          <w:trHeight w:val="630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6.1.4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6 901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6.2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26 770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13 048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-51</w:t>
            </w:r>
          </w:p>
        </w:tc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платежи и сборы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1 645 093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1 038 696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расходы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2 977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Командировочные расходы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52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Информационные, консультационные, аудиторские услуги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-57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6.9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банка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-81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всего,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26 932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28 594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760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6.10.1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оргтехники, обслуживание лицензионных программ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8 808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17 593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расходов связано с ростом стоимости услуг по обновлению и сопровождению лицензионных программ</w:t>
            </w:r>
          </w:p>
        </w:tc>
      </w:tr>
      <w:tr w:rsidR="00EA2C35">
        <w:trPr>
          <w:trHeight w:val="914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6.10.2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Проездные билеты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5 726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-47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A2C35">
        <w:trPr>
          <w:trHeight w:val="433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6.10.3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Канцелярские товары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Превышение затрат связано с ростом стоимости канцелярских товаров</w:t>
            </w:r>
          </w:p>
        </w:tc>
      </w:tr>
      <w:tr w:rsidR="00EA2C35">
        <w:trPr>
          <w:trHeight w:val="49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6.10.4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Периодическая печать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запланированы на второе полугодие</w:t>
            </w:r>
          </w:p>
        </w:tc>
      </w:tr>
      <w:tr w:rsidR="00EA2C35">
        <w:trPr>
          <w:trHeight w:val="1002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6.10.5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-58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A2C35">
        <w:trPr>
          <w:trHeight w:val="49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6.10.6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типографии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запланированы на второе полугодие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6.10.7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Обязательное страхование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-24</w:t>
            </w:r>
          </w:p>
        </w:tc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6.10.8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Хозяйственные товары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-69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6.10.9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служебного автотранспорта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6.10.10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почты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-61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746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6.10.11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Нотариальные услуги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Превышение расходов связано с оформлением прав на имущество передаваемое из коммунальной собственности</w:t>
            </w:r>
          </w:p>
        </w:tc>
      </w:tr>
      <w:tr w:rsidR="00EA2C35">
        <w:trPr>
          <w:trHeight w:val="616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вознаграждения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7 958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кредитному договору расходы будут произведены в декабре месяце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затрат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16 707 207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8 985 276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-46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 (РБА*СП)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-637 959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630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Необоснованно полученный доход за 2019-2021 годы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1 015 215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531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15 691 992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8 347 317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-47</w:t>
            </w:r>
          </w:p>
        </w:tc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EA2C35">
        <w:trPr>
          <w:trHeight w:val="42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VII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оказываемых услуг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9 178 588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4 882 528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-47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315"/>
        </w:trPr>
        <w:tc>
          <w:tcPr>
            <w:tcW w:w="7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VIII</w:t>
            </w:r>
          </w:p>
        </w:tc>
        <w:tc>
          <w:tcPr>
            <w:tcW w:w="296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Нормативные технические потери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12,08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690"/>
        </w:trPr>
        <w:tc>
          <w:tcPr>
            <w:tcW w:w="7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1 263 975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644 088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-49</w:t>
            </w:r>
          </w:p>
        </w:tc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Отклонение в связи со сравнением затрат первого полугодия с годовыми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утвержденными затратами тарифной сметы</w:t>
            </w:r>
          </w:p>
        </w:tc>
      </w:tr>
      <w:tr w:rsidR="00EA2C35">
        <w:trPr>
          <w:trHeight w:val="630"/>
        </w:trPr>
        <w:tc>
          <w:tcPr>
            <w:tcW w:w="7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3 421 656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1 743 583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-49</w:t>
            </w: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35" w:rsidRDefault="00EA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2C35">
        <w:trPr>
          <w:trHeight w:val="356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IX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тенге/ Гкал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1 709,63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1 709,63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Справочно: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450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Среднесписочная численность персонала,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Производственный персонал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Административный персонал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заработная плата, всего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тенге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479 222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480 990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40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производственного персонала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479 222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468 484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2C35">
        <w:trPr>
          <w:trHeight w:val="315"/>
        </w:trPr>
        <w:tc>
          <w:tcPr>
            <w:tcW w:w="7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административного персонала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479 222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641 915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35" w:rsidRDefault="00964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EA2C35" w:rsidRDefault="00EA2C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EA2C35" w:rsidRDefault="0096458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Основные финансово-экономические показатели деятельности</w:t>
      </w:r>
    </w:p>
    <w:p w:rsidR="00EA2C35" w:rsidRDefault="009645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Доходы по основной деятельности за первое полугодие 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составили                    8 347 317 тыс.тенге. Расходы Общества составили 8 985 276 тыс.тенге.</w:t>
      </w:r>
    </w:p>
    <w:p w:rsidR="00EA2C35" w:rsidRDefault="009645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Финансовый результат по основной деятельности - убыток в размере 637 959 тыс.тенге.</w:t>
      </w:r>
    </w:p>
    <w:p w:rsidR="00EA2C35" w:rsidRDefault="009645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Доходы по неосновной деятельности составили 388 010 тыс.тенге</w:t>
      </w:r>
      <w:r>
        <w:rPr>
          <w:rFonts w:ascii="Times New Roman" w:eastAsia="Calibri" w:hAnsi="Times New Roman" w:cs="Times New Roman"/>
          <w:sz w:val="28"/>
          <w:szCs w:val="28"/>
        </w:rPr>
        <w:t>, расходы – 787128 тыс.тенге, убыток – 399 117 тыс.тенге.</w:t>
      </w:r>
    </w:p>
    <w:p w:rsidR="00EA2C35" w:rsidRDefault="00964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Сводный финансовый результат Общества по итогам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полугодия 2025 года – убыток в размере 1 037 076 тыс.тенге.</w:t>
      </w:r>
    </w:p>
    <w:p w:rsidR="00EA2C35" w:rsidRDefault="00EA2C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2C35" w:rsidRDefault="00964580">
      <w:pPr>
        <w:pStyle w:val="af9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Объем услуг на передачу и распределение тепловой энергии</w:t>
      </w:r>
    </w:p>
    <w:p w:rsidR="00EA2C35" w:rsidRDefault="009645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полугодие 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объем оказанных услуг составил 4 882 528 Гкал, при утвержденном в тарифной смете годовом объеме 9 178 588 Гкал. </w:t>
      </w:r>
    </w:p>
    <w:p w:rsidR="00EA2C35" w:rsidRDefault="00964580">
      <w:pPr>
        <w:pStyle w:val="af9"/>
        <w:spacing w:after="0" w:line="240" w:lineRule="auto"/>
        <w:ind w:left="0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Работа с потребителями, качество предоставляемых услуг</w:t>
      </w:r>
    </w:p>
    <w:p w:rsidR="00EA2C35" w:rsidRDefault="00964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Большое внимание АО «Астана-Теплотранзит» уделяет качеству предоставляемых услуг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применением новых технологий, автоматизации процессов.</w:t>
      </w:r>
    </w:p>
    <w:p w:rsidR="00EA2C35" w:rsidRDefault="00964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По итогам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полугодия 202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технологических нарушений не зафиксировано. Жалобы на качество предоставляемой услуги не поступали.</w:t>
      </w:r>
    </w:p>
    <w:p w:rsidR="00EA2C35" w:rsidRDefault="00964580">
      <w:pPr>
        <w:pStyle w:val="afa"/>
        <w:rPr>
          <w:rFonts w:eastAsia="Calibri"/>
        </w:rPr>
      </w:pPr>
      <w:r>
        <w:rPr>
          <w:rFonts w:eastAsia="Calibri"/>
        </w:rPr>
        <w:t>На интернет-ресурсе Общества размещена вся необходимая для потребит</w:t>
      </w:r>
      <w:r>
        <w:rPr>
          <w:rFonts w:eastAsia="Calibri"/>
        </w:rPr>
        <w:t>елей информация:   утвержденная тарифная смета, инвестиционная программа, отчеты об их исполнении, годовая финансовая отчетность, ежегодный отчет о деятельности предприятия по передаче и распределению тепловой энергии, схема-карта тепловых сетей города, пр</w:t>
      </w:r>
      <w:r>
        <w:rPr>
          <w:rFonts w:eastAsia="Calibri"/>
        </w:rPr>
        <w:t xml:space="preserve">отяженность теплотрасс, сведения о наличии свободных и доступных мощностей, </w:t>
      </w:r>
      <w:hyperlink r:id="rId11" w:tooltip="http://www.a-tranzit.kz/files/%D0%A2%D0%A3.rar" w:history="1">
        <w:r>
          <w:rPr>
            <w:rFonts w:eastAsia="Calibri"/>
          </w:rPr>
          <w:t>перечень документов для получения технических условий</w:t>
        </w:r>
      </w:hyperlink>
      <w:r>
        <w:rPr>
          <w:rFonts w:eastAsia="Calibri"/>
        </w:rPr>
        <w:t xml:space="preserve"> и  </w:t>
      </w:r>
      <w:hyperlink r:id="rId12" w:tooltip="http://www.a-tranzit.kz/ru/node/2176" w:history="1">
        <w:r>
          <w:rPr>
            <w:rFonts w:eastAsia="Calibri"/>
          </w:rPr>
          <w:t xml:space="preserve"> паспорта готовности</w:t>
        </w:r>
      </w:hyperlink>
      <w:r>
        <w:rPr>
          <w:rFonts w:eastAsia="Calibri"/>
        </w:rPr>
        <w:t>, объявления по испытаниям, отключениям и проведению опрессовки тепловых сетей, информация по подготовке к отопительному сезону, приказы о начале и о</w:t>
      </w:r>
      <w:r>
        <w:rPr>
          <w:rFonts w:eastAsia="Calibri"/>
        </w:rPr>
        <w:t>кончании отопительного сезона и другое.</w:t>
      </w:r>
    </w:p>
    <w:p w:rsidR="00EA2C35" w:rsidRDefault="00964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Руководство Общества открыто для встречи с потребителями услуг и готово ответить на все интересующие вопросы.</w:t>
      </w:r>
    </w:p>
    <w:p w:rsidR="00EA2C35" w:rsidRDefault="00EA2C3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74E7" w:rsidRDefault="006974E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2C35" w:rsidRDefault="0096458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Перспективы предприятия на 2025 год</w:t>
      </w:r>
    </w:p>
    <w:p w:rsidR="00EA2C35" w:rsidRDefault="0096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Приказом Департамента Комитета по регулированию естественных монополи</w:t>
      </w:r>
      <w:r>
        <w:rPr>
          <w:rFonts w:ascii="Times New Roman" w:eastAsia="Calibri" w:hAnsi="Times New Roman" w:cs="Times New Roman"/>
          <w:sz w:val="28"/>
          <w:szCs w:val="28"/>
        </w:rPr>
        <w:t>й Министерства национальной экономики Республики Казахстан по городу Астана (далее- Департамент) от 23 декабря 2024 года №106-ОД утверждены тарифы на 2021-2025 годы. Тариф на 2025 год по регулируемой услуге передача и распределение тепловой энергии утвержд</w:t>
      </w:r>
      <w:r>
        <w:rPr>
          <w:rFonts w:ascii="Times New Roman" w:eastAsia="Calibri" w:hAnsi="Times New Roman" w:cs="Times New Roman"/>
          <w:sz w:val="28"/>
          <w:szCs w:val="28"/>
        </w:rPr>
        <w:t>ен в размере 1 709,63 тенге за 1 Гкал.</w:t>
      </w:r>
    </w:p>
    <w:p w:rsidR="00EA2C35" w:rsidRDefault="009645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25 Законом Республики Казахстан «О теплоэнергетике» от 8 июля 2024 года № 120-VIII ЗРК, с 1 июля 2025 года Обществу перешли функции по снабжению тепловой энергии потребителям. </w:t>
      </w:r>
    </w:p>
    <w:p w:rsidR="00EA2C35" w:rsidRDefault="009645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Приказом Департамента от 11 июня 2025 года №40-ОД утвержден среднеотпускной тариф на снабжение тепловой энергии в размере 4 626,67 тенге за 1 Гкал с вводом в действие с 1 июля 2025 года.</w:t>
      </w:r>
    </w:p>
    <w:p w:rsidR="00EA2C35" w:rsidRDefault="0096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Обществом подана заявка на утверждение тарифа и тарифной сметы на сна</w:t>
      </w:r>
      <w:r>
        <w:rPr>
          <w:rFonts w:ascii="Times New Roman" w:eastAsia="Calibri" w:hAnsi="Times New Roman" w:cs="Times New Roman"/>
          <w:sz w:val="28"/>
          <w:szCs w:val="28"/>
        </w:rPr>
        <w:t>бжение тепловой энергии на 2026-2030 годы.</w:t>
      </w:r>
    </w:p>
    <w:p w:rsidR="00EA2C35" w:rsidRDefault="00964580">
      <w:pPr>
        <w:pStyle w:val="af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eastAsia="Calibri"/>
          <w:sz w:val="28"/>
          <w:szCs w:val="28"/>
        </w:rPr>
        <w:t>В 2025 году на выполнение инвестиционных обязательств будет направлено                3 489 500 тыс.тенге</w:t>
      </w:r>
      <w:r>
        <w:rPr>
          <w:rFonts w:eastAsia="Calibri"/>
          <w:sz w:val="28"/>
          <w:szCs w:val="28"/>
        </w:rPr>
        <w:t>. В рамках реализации инвестиционной программы предусмотрены мероприятия по реконструкции, модернизации тепловых сетей с применением ППУ-изолированных систем трубопроводов, а также приобретение оборудования, спецмеханизмов, необходимых для поддержания в ис</w:t>
      </w:r>
      <w:r>
        <w:rPr>
          <w:rFonts w:eastAsia="Calibri"/>
          <w:sz w:val="28"/>
          <w:szCs w:val="28"/>
        </w:rPr>
        <w:t>правном состоянии объекты теплоснабжения города.</w:t>
      </w:r>
    </w:p>
    <w:p w:rsidR="00EA2C35" w:rsidRDefault="00964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Своевременно будут проведены все необходимые мероприятия по подготовке к предстоящему отопительному сезону 2025-2026гг. для обеспечения надежности и повышения качества оказываемых услуг.</w:t>
      </w:r>
    </w:p>
    <w:p w:rsidR="00EA2C35" w:rsidRDefault="00EA2C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2C35" w:rsidRDefault="00EA2C35"/>
    <w:sectPr w:rsidR="00EA2C35"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580" w:rsidRDefault="00964580">
      <w:pPr>
        <w:spacing w:after="0" w:line="240" w:lineRule="auto"/>
      </w:pPr>
      <w:r>
        <w:separator/>
      </w:r>
    </w:p>
  </w:endnote>
  <w:endnote w:type="continuationSeparator" w:id="0">
    <w:p w:rsidR="00964580" w:rsidRDefault="0096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8235"/>
    </w:sdtPr>
    <w:sdtEndPr/>
    <w:sdtContent>
      <w:p w:rsidR="00EA2C35" w:rsidRDefault="00964580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F9D">
          <w:rPr>
            <w:noProof/>
          </w:rPr>
          <w:t>4</w:t>
        </w:r>
        <w:r>
          <w:fldChar w:fldCharType="end"/>
        </w:r>
      </w:p>
    </w:sdtContent>
  </w:sdt>
  <w:p w:rsidR="00EA2C35" w:rsidRDefault="00EA2C3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580" w:rsidRDefault="00964580">
      <w:pPr>
        <w:spacing w:after="0" w:line="240" w:lineRule="auto"/>
      </w:pPr>
      <w:r>
        <w:separator/>
      </w:r>
    </w:p>
  </w:footnote>
  <w:footnote w:type="continuationSeparator" w:id="0">
    <w:p w:rsidR="00964580" w:rsidRDefault="00964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A053C"/>
    <w:multiLevelType w:val="hybridMultilevel"/>
    <w:tmpl w:val="21E2253E"/>
    <w:lvl w:ilvl="0" w:tplc="FD32142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18E83EA">
      <w:start w:val="1"/>
      <w:numFmt w:val="lowerLetter"/>
      <w:lvlText w:val="%2."/>
      <w:lvlJc w:val="left"/>
      <w:pPr>
        <w:ind w:left="1648" w:hanging="360"/>
      </w:pPr>
    </w:lvl>
    <w:lvl w:ilvl="2" w:tplc="4546F644">
      <w:start w:val="1"/>
      <w:numFmt w:val="lowerRoman"/>
      <w:lvlText w:val="%3."/>
      <w:lvlJc w:val="right"/>
      <w:pPr>
        <w:ind w:left="2368" w:hanging="180"/>
      </w:pPr>
    </w:lvl>
    <w:lvl w:ilvl="3" w:tplc="22D83664">
      <w:start w:val="1"/>
      <w:numFmt w:val="decimal"/>
      <w:lvlText w:val="%4."/>
      <w:lvlJc w:val="left"/>
      <w:pPr>
        <w:ind w:left="3088" w:hanging="360"/>
      </w:pPr>
    </w:lvl>
    <w:lvl w:ilvl="4" w:tplc="F252DEEA">
      <w:start w:val="1"/>
      <w:numFmt w:val="lowerLetter"/>
      <w:lvlText w:val="%5."/>
      <w:lvlJc w:val="left"/>
      <w:pPr>
        <w:ind w:left="3808" w:hanging="360"/>
      </w:pPr>
    </w:lvl>
    <w:lvl w:ilvl="5" w:tplc="38E05716">
      <w:start w:val="1"/>
      <w:numFmt w:val="lowerRoman"/>
      <w:lvlText w:val="%6."/>
      <w:lvlJc w:val="right"/>
      <w:pPr>
        <w:ind w:left="4528" w:hanging="180"/>
      </w:pPr>
    </w:lvl>
    <w:lvl w:ilvl="6" w:tplc="4FB2AFD6">
      <w:start w:val="1"/>
      <w:numFmt w:val="decimal"/>
      <w:lvlText w:val="%7."/>
      <w:lvlJc w:val="left"/>
      <w:pPr>
        <w:ind w:left="5248" w:hanging="360"/>
      </w:pPr>
    </w:lvl>
    <w:lvl w:ilvl="7" w:tplc="1E54E830">
      <w:start w:val="1"/>
      <w:numFmt w:val="lowerLetter"/>
      <w:lvlText w:val="%8."/>
      <w:lvlJc w:val="left"/>
      <w:pPr>
        <w:ind w:left="5968" w:hanging="360"/>
      </w:pPr>
    </w:lvl>
    <w:lvl w:ilvl="8" w:tplc="06A084E2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35"/>
    <w:rsid w:val="001B3F39"/>
    <w:rsid w:val="003F2B7F"/>
    <w:rsid w:val="006974E7"/>
    <w:rsid w:val="006A1963"/>
    <w:rsid w:val="00964580"/>
    <w:rsid w:val="00A558DF"/>
    <w:rsid w:val="00B3582C"/>
    <w:rsid w:val="00D75F9D"/>
    <w:rsid w:val="00EA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5B35"/>
  <w15:docId w15:val="{067AEE8B-7A8B-4059-A572-7BD2822A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a-tranzit.kz/ru/node/21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-tranzit.kz/files/%D0%A2%D0%A3.ra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9</cp:revision>
  <cp:lastPrinted>2025-07-14T09:57:00Z</cp:lastPrinted>
  <dcterms:created xsi:type="dcterms:W3CDTF">2025-07-14T09:57:00Z</dcterms:created>
  <dcterms:modified xsi:type="dcterms:W3CDTF">2025-07-14T11:02:00Z</dcterms:modified>
</cp:coreProperties>
</file>